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right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引江济淮项目报价单</w:t>
      </w:r>
    </w:p>
    <w:tbl>
      <w:tblPr>
        <w:tblStyle w:val="2"/>
        <w:tblpPr w:leftFromText="180" w:rightFromText="180" w:vertAnchor="text" w:horzAnchor="page" w:tblpXSpec="center" w:tblpY="605"/>
        <w:tblOverlap w:val="never"/>
        <w:tblW w:w="9617" w:type="dxa"/>
        <w:jc w:val="center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2"/>
        <w:gridCol w:w="1293"/>
        <w:gridCol w:w="1937"/>
        <w:gridCol w:w="2066"/>
        <w:gridCol w:w="2549"/>
      </w:tblGrid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2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重量（吨）</w:t>
            </w:r>
          </w:p>
        </w:tc>
        <w:tc>
          <w:tcPr>
            <w:tcW w:w="19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241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单价(元/吨）</w:t>
            </w:r>
          </w:p>
        </w:tc>
        <w:tc>
          <w:tcPr>
            <w:tcW w:w="20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482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  <w:tc>
          <w:tcPr>
            <w:tcW w:w="25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723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  <w:jc w:val="center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废旧钢筋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highlight w:val="none"/>
                <w:lang w:val="en-US" w:eastAsia="zh-CN"/>
              </w:rPr>
              <w:t>8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重量为暂估重量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以实际称重为准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  <w:jc w:val="center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微软雅黑" w:cs="Calibri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注：以上报价按吨计算费用，最终结算金额根据实际称重为准。吊装运输由购方负责。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报价单位（章）：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联系人及联系方式：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时间：</w:t>
      </w: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4FE270A5"/>
    <w:rsid w:val="4FE2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2022-09-01T01:18:00Z</dcterms:created>
  <dc:creator>劳模</dc:creator>
  <cp:lastModifiedBy>劳模</cp:lastModifiedBy>
  <dcterms:modified xsi:type="dcterms:W3CDTF">2022-09-01T01:19:28Z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A9F18269CA4E4D63BE36C0F3A8AD83B3</vt:lpwstr>
  </property>
</Properties>
</file>